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1" w:type="dxa"/>
        <w:tblCellMar>
          <w:left w:w="10" w:type="dxa"/>
          <w:right w:w="10" w:type="dxa"/>
        </w:tblCellMar>
        <w:tblLook w:val="0000" w:firstRow="0" w:lastRow="0" w:firstColumn="0" w:lastColumn="0" w:noHBand="0" w:noVBand="0"/>
      </w:tblPr>
      <w:tblGrid>
        <w:gridCol w:w="4139"/>
        <w:gridCol w:w="2007"/>
        <w:gridCol w:w="2875"/>
      </w:tblGrid>
      <w:tr w:rsidR="00623349" w14:paraId="0B7B56CF" w14:textId="77777777">
        <w:tblPrEx>
          <w:tblCellMar>
            <w:top w:w="0" w:type="dxa"/>
            <w:bottom w:w="0" w:type="dxa"/>
          </w:tblCellMar>
        </w:tblPrEx>
        <w:tc>
          <w:tcPr>
            <w:tcW w:w="4139" w:type="dxa"/>
            <w:tcBorders>
              <w:right w:val="single" w:sz="4" w:space="0" w:color="000000"/>
            </w:tcBorders>
            <w:shd w:val="clear" w:color="auto" w:fill="auto"/>
            <w:tcMar>
              <w:top w:w="0" w:type="dxa"/>
              <w:left w:w="108" w:type="dxa"/>
              <w:bottom w:w="0" w:type="dxa"/>
              <w:right w:w="108" w:type="dxa"/>
            </w:tcMar>
          </w:tcPr>
          <w:p w14:paraId="35706125" w14:textId="77777777" w:rsidR="00623349" w:rsidRDefault="00601DEE">
            <w:pPr>
              <w:spacing w:after="0"/>
              <w:jc w:val="both"/>
            </w:pPr>
            <w:r>
              <w:rPr>
                <w:noProof/>
                <w:color w:val="000000"/>
                <w:lang w:eastAsia="en-GB"/>
              </w:rPr>
              <w:drawing>
                <wp:inline distT="0" distB="0" distL="0" distR="0" wp14:anchorId="7602D1AE" wp14:editId="6532E836">
                  <wp:extent cx="2298911" cy="531467"/>
                  <wp:effectExtent l="0" t="0" r="6139" b="1933"/>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98911" cy="531467"/>
                          </a:xfrm>
                          <a:prstGeom prst="rect">
                            <a:avLst/>
                          </a:prstGeom>
                          <a:noFill/>
                          <a:ln>
                            <a:noFill/>
                            <a:prstDash/>
                          </a:ln>
                        </pic:spPr>
                      </pic:pic>
                    </a:graphicData>
                  </a:graphic>
                </wp:inline>
              </w:drawing>
            </w:r>
          </w:p>
        </w:tc>
        <w:tc>
          <w:tcPr>
            <w:tcW w:w="2007" w:type="dxa"/>
            <w:tcBorders>
              <w:right w:val="single" w:sz="4" w:space="0" w:color="000000"/>
            </w:tcBorders>
            <w:shd w:val="clear" w:color="auto" w:fill="auto"/>
            <w:tcMar>
              <w:top w:w="0" w:type="dxa"/>
              <w:left w:w="10" w:type="dxa"/>
              <w:bottom w:w="0" w:type="dxa"/>
              <w:right w:w="10" w:type="dxa"/>
            </w:tcMar>
          </w:tcPr>
          <w:p w14:paraId="334BA235" w14:textId="77777777" w:rsidR="00623349" w:rsidRDefault="00623349">
            <w:pPr>
              <w:spacing w:after="0"/>
              <w:jc w:val="both"/>
              <w:rPr>
                <w:b/>
                <w:bCs/>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95F4" w14:textId="77777777" w:rsidR="00623349" w:rsidRDefault="00601DEE">
            <w:pPr>
              <w:spacing w:after="0"/>
              <w:jc w:val="both"/>
              <w:rPr>
                <w:b/>
                <w:bCs/>
              </w:rPr>
            </w:pPr>
            <w:r>
              <w:rPr>
                <w:b/>
                <w:bCs/>
              </w:rPr>
              <w:t>Report for:</w:t>
            </w:r>
          </w:p>
          <w:p w14:paraId="0077B585" w14:textId="77777777" w:rsidR="00623349" w:rsidRDefault="00601DEE">
            <w:pPr>
              <w:spacing w:after="0"/>
              <w:jc w:val="both"/>
            </w:pPr>
            <w:r>
              <w:rPr>
                <w:b/>
                <w:bCs/>
              </w:rPr>
              <w:t>INFORMATION</w:t>
            </w:r>
          </w:p>
        </w:tc>
      </w:tr>
    </w:tbl>
    <w:p w14:paraId="15BDEC1D" w14:textId="77777777" w:rsidR="00623349" w:rsidRDefault="00623349">
      <w:pPr>
        <w:jc w:val="both"/>
      </w:pPr>
    </w:p>
    <w:tbl>
      <w:tblPr>
        <w:tblW w:w="9016" w:type="dxa"/>
        <w:tblCellMar>
          <w:left w:w="10" w:type="dxa"/>
          <w:right w:w="10" w:type="dxa"/>
        </w:tblCellMar>
        <w:tblLook w:val="0000" w:firstRow="0" w:lastRow="0" w:firstColumn="0" w:lastColumn="0" w:noHBand="0" w:noVBand="0"/>
      </w:tblPr>
      <w:tblGrid>
        <w:gridCol w:w="2405"/>
        <w:gridCol w:w="6611"/>
      </w:tblGrid>
      <w:tr w:rsidR="00623349" w14:paraId="6661869B"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7DA42" w14:textId="77777777" w:rsidR="00623349" w:rsidRDefault="00601DEE">
            <w:pPr>
              <w:spacing w:after="0"/>
              <w:jc w:val="both"/>
              <w:rPr>
                <w:b/>
                <w:bCs/>
              </w:rPr>
            </w:pPr>
            <w:r>
              <w:rPr>
                <w:b/>
                <w:bCs/>
              </w:rPr>
              <w:t>Contains Confidential or Exempt Information</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CDD45" w14:textId="77777777" w:rsidR="00623349" w:rsidRDefault="00601DEE">
            <w:pPr>
              <w:spacing w:after="0"/>
              <w:jc w:val="both"/>
            </w:pPr>
            <w:r>
              <w:t>No</w:t>
            </w:r>
          </w:p>
        </w:tc>
      </w:tr>
      <w:tr w:rsidR="00623349" w14:paraId="7DB42C71"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C512" w14:textId="77777777" w:rsidR="00623349" w:rsidRDefault="00601DEE">
            <w:pPr>
              <w:spacing w:after="0"/>
              <w:jc w:val="both"/>
              <w:rPr>
                <w:b/>
                <w:bCs/>
              </w:rPr>
            </w:pPr>
            <w:r>
              <w:rPr>
                <w:b/>
                <w:bCs/>
              </w:rPr>
              <w:t>Title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186F" w14:textId="77777777" w:rsidR="00623349" w:rsidRDefault="00601DEE">
            <w:pPr>
              <w:spacing w:after="0"/>
              <w:jc w:val="both"/>
            </w:pPr>
            <w:r>
              <w:t xml:space="preserve">Annual Report on Internal Audits including Head of Audit Opinion and Performance Report. </w:t>
            </w:r>
          </w:p>
        </w:tc>
      </w:tr>
      <w:tr w:rsidR="00623349" w14:paraId="365FAB68"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9EE41" w14:textId="77777777" w:rsidR="00623349" w:rsidRDefault="00601DEE">
            <w:pPr>
              <w:spacing w:after="0"/>
              <w:jc w:val="both"/>
              <w:rPr>
                <w:b/>
                <w:bCs/>
              </w:rPr>
            </w:pPr>
            <w:r>
              <w:rPr>
                <w:b/>
                <w:bCs/>
              </w:rPr>
              <w:t>Contact Details</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5E92F" w14:textId="77777777" w:rsidR="00623349" w:rsidRDefault="00601DEE">
            <w:pPr>
              <w:spacing w:after="0"/>
              <w:jc w:val="both"/>
            </w:pPr>
            <w:r>
              <w:t xml:space="preserve">Mike Pinder, Assistant Director of </w:t>
            </w:r>
            <w:proofErr w:type="gramStart"/>
            <w:r>
              <w:t>Audit</w:t>
            </w:r>
            <w:proofErr w:type="gramEnd"/>
            <w:r>
              <w:t xml:space="preserve"> and </w:t>
            </w:r>
            <w:r>
              <w:t>Investigations (Ealing and Hounslow Shared Service)</w:t>
            </w:r>
          </w:p>
        </w:tc>
      </w:tr>
      <w:tr w:rsidR="00623349" w14:paraId="4C749B97" w14:textId="77777777">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F8E06" w14:textId="77777777" w:rsidR="00623349" w:rsidRDefault="00601DEE">
            <w:pPr>
              <w:spacing w:after="0"/>
              <w:jc w:val="both"/>
              <w:rPr>
                <w:b/>
                <w:bCs/>
              </w:rPr>
            </w:pPr>
            <w:r>
              <w:rPr>
                <w:b/>
                <w:bCs/>
              </w:rPr>
              <w:t>For Consideration By</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83C79" w14:textId="77777777" w:rsidR="00623349" w:rsidRDefault="00601DEE">
            <w:pPr>
              <w:spacing w:after="0"/>
              <w:jc w:val="both"/>
            </w:pPr>
            <w:r>
              <w:t>Audit Committee</w:t>
            </w:r>
          </w:p>
        </w:tc>
      </w:tr>
    </w:tbl>
    <w:p w14:paraId="3081BB16" w14:textId="77777777" w:rsidR="00623349" w:rsidRDefault="00623349">
      <w:pPr>
        <w:jc w:val="both"/>
      </w:pPr>
    </w:p>
    <w:p w14:paraId="7BF2FC8D" w14:textId="77777777" w:rsidR="00623349" w:rsidRDefault="00601DEE">
      <w:pPr>
        <w:pStyle w:val="ListParagraph"/>
        <w:numPr>
          <w:ilvl w:val="0"/>
          <w:numId w:val="1"/>
        </w:numPr>
        <w:jc w:val="both"/>
        <w:rPr>
          <w:b/>
          <w:bCs/>
        </w:rPr>
      </w:pPr>
      <w:r>
        <w:rPr>
          <w:b/>
          <w:bCs/>
        </w:rPr>
        <w:t>Details of Recommendations</w:t>
      </w:r>
    </w:p>
    <w:p w14:paraId="33CFAAF4" w14:textId="77777777" w:rsidR="00623349" w:rsidRDefault="00601DEE">
      <w:pPr>
        <w:jc w:val="both"/>
      </w:pPr>
      <w:r>
        <w:t>It is recommended that the Audit Committee:</w:t>
      </w:r>
    </w:p>
    <w:p w14:paraId="40DE24B0" w14:textId="77777777" w:rsidR="00623349" w:rsidRDefault="00601DEE">
      <w:pPr>
        <w:pStyle w:val="ListParagraph"/>
        <w:numPr>
          <w:ilvl w:val="0"/>
          <w:numId w:val="2"/>
        </w:numPr>
        <w:jc w:val="both"/>
      </w:pPr>
      <w:r>
        <w:t>Note the performance of the Internal Audit team and key issues arising during the year.</w:t>
      </w:r>
    </w:p>
    <w:p w14:paraId="253249CF" w14:textId="77777777" w:rsidR="00623349" w:rsidRDefault="00601DEE">
      <w:pPr>
        <w:pStyle w:val="ListParagraph"/>
        <w:numPr>
          <w:ilvl w:val="0"/>
          <w:numId w:val="2"/>
        </w:numPr>
        <w:jc w:val="both"/>
      </w:pPr>
      <w:r>
        <w:t xml:space="preserve">Note </w:t>
      </w:r>
      <w:r>
        <w:t>the Head of Audit and Investigations Annual Opinion for 2021/22.</w:t>
      </w:r>
    </w:p>
    <w:p w14:paraId="154643D2" w14:textId="77777777" w:rsidR="00623349" w:rsidRDefault="00623349">
      <w:pPr>
        <w:pStyle w:val="ListParagraph"/>
        <w:jc w:val="both"/>
      </w:pPr>
    </w:p>
    <w:tbl>
      <w:tblPr>
        <w:tblW w:w="9016" w:type="dxa"/>
        <w:tblCellMar>
          <w:left w:w="10" w:type="dxa"/>
          <w:right w:w="10" w:type="dxa"/>
        </w:tblCellMar>
        <w:tblLook w:val="0000" w:firstRow="0" w:lastRow="0" w:firstColumn="0" w:lastColumn="0" w:noHBand="0" w:noVBand="0"/>
      </w:tblPr>
      <w:tblGrid>
        <w:gridCol w:w="9016"/>
      </w:tblGrid>
      <w:tr w:rsidR="00623349" w14:paraId="20C4489C" w14:textId="77777777">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49CEA" w14:textId="77777777" w:rsidR="00623349" w:rsidRDefault="00601DEE">
            <w:pPr>
              <w:spacing w:after="0"/>
              <w:jc w:val="both"/>
              <w:rPr>
                <w:b/>
                <w:bCs/>
              </w:rPr>
            </w:pPr>
            <w:r>
              <w:rPr>
                <w:b/>
                <w:bCs/>
              </w:rPr>
              <w:t>Summary</w:t>
            </w:r>
          </w:p>
          <w:p w14:paraId="1D249DBE" w14:textId="77777777" w:rsidR="00623349" w:rsidRDefault="00601DEE">
            <w:pPr>
              <w:spacing w:after="0"/>
              <w:jc w:val="both"/>
            </w:pPr>
            <w:r>
              <w:t>The attached report describes the annual report and the Head of Audit’s Opinion and details of the work completed by the Audit team between July 21 to April 22.</w:t>
            </w:r>
          </w:p>
        </w:tc>
      </w:tr>
    </w:tbl>
    <w:p w14:paraId="25224032" w14:textId="77777777" w:rsidR="00623349" w:rsidRDefault="00601DEE">
      <w:pPr>
        <w:jc w:val="both"/>
      </w:pPr>
      <w:r>
        <w:t xml:space="preserve"> </w:t>
      </w:r>
    </w:p>
    <w:p w14:paraId="2E05887F" w14:textId="77777777" w:rsidR="00623349" w:rsidRDefault="00601DEE">
      <w:pPr>
        <w:pStyle w:val="ListParagraph"/>
        <w:numPr>
          <w:ilvl w:val="0"/>
          <w:numId w:val="1"/>
        </w:numPr>
        <w:jc w:val="both"/>
        <w:rPr>
          <w:b/>
          <w:bCs/>
        </w:rPr>
      </w:pPr>
      <w:r>
        <w:rPr>
          <w:b/>
          <w:bCs/>
        </w:rPr>
        <w:t>Background</w:t>
      </w:r>
    </w:p>
    <w:p w14:paraId="25522ACF" w14:textId="77777777" w:rsidR="00623349" w:rsidRDefault="00601DEE">
      <w:pPr>
        <w:jc w:val="both"/>
      </w:pPr>
      <w:r>
        <w:t>This report outlines the performance of Internal Audit from July 2021 (when the agreement began) until March 2022 including all reports finalised during that period.</w:t>
      </w:r>
    </w:p>
    <w:p w14:paraId="5C41034A" w14:textId="77777777" w:rsidR="00623349" w:rsidRDefault="00601DEE">
      <w:pPr>
        <w:jc w:val="both"/>
      </w:pPr>
      <w:r>
        <w:t>Internal Audit activity with the WLWA is delivered under an arrangement with th</w:t>
      </w:r>
      <w:r>
        <w:t xml:space="preserve">e London Boroughs of Ealing and Hounslow (shared service). </w:t>
      </w:r>
    </w:p>
    <w:p w14:paraId="452821A6" w14:textId="77777777" w:rsidR="00623349" w:rsidRDefault="00601DEE">
      <w:pPr>
        <w:jc w:val="both"/>
      </w:pPr>
      <w:r>
        <w:t xml:space="preserve">Internal Audit (IA) provides an independent assurance which is essential in helping the WLWA achieve its corporate objectives. The plan is designed in line with the size of the organisation as it </w:t>
      </w:r>
      <w:r>
        <w:t>is relatively small with only 40 employees. It is a requirement of the Accounts and Audit (Amendment) Regulations 2021 that the Authority undertakes an effective IA to evaluate the effectiveness of its risk management, internal control, and corporate gover</w:t>
      </w:r>
      <w:r>
        <w:t xml:space="preserve">nance processes, </w:t>
      </w:r>
      <w:proofErr w:type="gramStart"/>
      <w:r>
        <w:t>taking into account</w:t>
      </w:r>
      <w:proofErr w:type="gramEnd"/>
      <w:r>
        <w:t xml:space="preserve"> public sector internal auditing standards or guidance.  </w:t>
      </w:r>
    </w:p>
    <w:p w14:paraId="2F9FA922" w14:textId="77777777" w:rsidR="00623349" w:rsidRDefault="00601DEE">
      <w:pPr>
        <w:jc w:val="both"/>
      </w:pPr>
      <w:r>
        <w:t>This report provides the Audit Committee with:</w:t>
      </w:r>
    </w:p>
    <w:p w14:paraId="1B28504D" w14:textId="77777777" w:rsidR="00623349" w:rsidRDefault="00601DEE">
      <w:pPr>
        <w:pStyle w:val="ListParagraph"/>
        <w:numPr>
          <w:ilvl w:val="0"/>
          <w:numId w:val="3"/>
        </w:numPr>
        <w:jc w:val="both"/>
      </w:pPr>
      <w:r>
        <w:t>The Head of Audit Opinion for 2021/22.</w:t>
      </w:r>
    </w:p>
    <w:p w14:paraId="749D505E" w14:textId="77777777" w:rsidR="00623349" w:rsidRDefault="00601DEE">
      <w:pPr>
        <w:pStyle w:val="ListParagraph"/>
        <w:numPr>
          <w:ilvl w:val="0"/>
          <w:numId w:val="3"/>
        </w:numPr>
        <w:jc w:val="both"/>
      </w:pPr>
      <w:r>
        <w:t>An overview of the WLWA ‘s risk exposure and overall system of internal cont</w:t>
      </w:r>
      <w:r>
        <w:t xml:space="preserve">rol. </w:t>
      </w:r>
    </w:p>
    <w:p w14:paraId="52212168" w14:textId="77777777" w:rsidR="00623349" w:rsidRDefault="00601DEE">
      <w:pPr>
        <w:pStyle w:val="ListParagraph"/>
        <w:numPr>
          <w:ilvl w:val="0"/>
          <w:numId w:val="3"/>
        </w:numPr>
        <w:jc w:val="both"/>
      </w:pPr>
      <w:r>
        <w:t>The work undertaken by internal audit in 2021/22.</w:t>
      </w:r>
    </w:p>
    <w:p w14:paraId="5C0B64FA" w14:textId="77777777" w:rsidR="00623349" w:rsidRDefault="00601DEE">
      <w:pPr>
        <w:pStyle w:val="ListParagraph"/>
        <w:numPr>
          <w:ilvl w:val="0"/>
          <w:numId w:val="3"/>
        </w:numPr>
        <w:jc w:val="both"/>
      </w:pPr>
      <w:r>
        <w:t>Review of the outcomes of key internal audit reports; and</w:t>
      </w:r>
    </w:p>
    <w:p w14:paraId="3C2DAEA0" w14:textId="77777777" w:rsidR="00623349" w:rsidRDefault="00601DEE">
      <w:pPr>
        <w:pStyle w:val="ListParagraph"/>
        <w:numPr>
          <w:ilvl w:val="0"/>
          <w:numId w:val="3"/>
        </w:numPr>
        <w:jc w:val="both"/>
      </w:pPr>
      <w:r>
        <w:t>An overview of the performance of Internal Audit.</w:t>
      </w:r>
    </w:p>
    <w:p w14:paraId="3F9107DE" w14:textId="77777777" w:rsidR="00623349" w:rsidRDefault="00601DEE">
      <w:pPr>
        <w:jc w:val="both"/>
      </w:pPr>
      <w:r>
        <w:lastRenderedPageBreak/>
        <w:t xml:space="preserve">The three-year plan is designed to provide assurance over the key areas within the WLWA and </w:t>
      </w:r>
      <w:r>
        <w:t xml:space="preserve">its risk register and is suited for a small organisation. Management is consulted each year for input into the annual planning, so issues and concerns are discussed and possibly added to the planned work. </w:t>
      </w:r>
    </w:p>
    <w:p w14:paraId="39E79E06" w14:textId="77777777" w:rsidR="00623349" w:rsidRDefault="00601DEE">
      <w:pPr>
        <w:pStyle w:val="ListParagraph"/>
        <w:numPr>
          <w:ilvl w:val="0"/>
          <w:numId w:val="1"/>
        </w:numPr>
        <w:jc w:val="both"/>
        <w:rPr>
          <w:b/>
          <w:bCs/>
        </w:rPr>
      </w:pPr>
      <w:r>
        <w:rPr>
          <w:b/>
          <w:bCs/>
        </w:rPr>
        <w:t>Reason for Decision and Options Considered</w:t>
      </w:r>
    </w:p>
    <w:p w14:paraId="05A625DF" w14:textId="77777777" w:rsidR="00623349" w:rsidRDefault="00601DEE">
      <w:pPr>
        <w:jc w:val="both"/>
      </w:pPr>
      <w:r>
        <w:t>The Aud</w:t>
      </w:r>
      <w:r>
        <w:t>it Committee is presented with details in the attached report.</w:t>
      </w:r>
    </w:p>
    <w:p w14:paraId="52079FBF" w14:textId="77777777" w:rsidR="00623349" w:rsidRDefault="00601DEE">
      <w:pPr>
        <w:pStyle w:val="ListParagraph"/>
        <w:numPr>
          <w:ilvl w:val="0"/>
          <w:numId w:val="1"/>
        </w:numPr>
        <w:jc w:val="both"/>
        <w:rPr>
          <w:b/>
          <w:bCs/>
        </w:rPr>
      </w:pPr>
      <w:r>
        <w:rPr>
          <w:b/>
          <w:bCs/>
        </w:rPr>
        <w:t xml:space="preserve">Key Implications </w:t>
      </w:r>
    </w:p>
    <w:p w14:paraId="09884406" w14:textId="77777777" w:rsidR="00623349" w:rsidRDefault="00601DEE">
      <w:pPr>
        <w:jc w:val="both"/>
      </w:pPr>
      <w:r>
        <w:t>Internal audit is an assurance function that provides an independent and objective opinion to the WLWA on the control environment comprising of risk management, control, and g</w:t>
      </w:r>
      <w:r>
        <w:t>overnance, by evaluating its effectiveness in achieving corporate objectives. It objectively examines, evaluates and report on the adequacy of the control environment as a contribution to the proper, economic, efficient, and effective use of resources. The</w:t>
      </w:r>
      <w:r>
        <w:t xml:space="preserve"> assurance is based purely on the small programme of work set out in the 2021/22 Plan. As this is the first year of being the internal audit provide the plan and status of follow-ups form the entirety of the opinion. As only a small number of audits are pr</w:t>
      </w:r>
      <w:r>
        <w:t xml:space="preserve">oduced each year, we will look to build in other sources of assurance including potentially previous years. </w:t>
      </w:r>
    </w:p>
    <w:p w14:paraId="4BA6414B" w14:textId="77777777" w:rsidR="00623349" w:rsidRDefault="00601DEE">
      <w:pPr>
        <w:pStyle w:val="ListParagraph"/>
        <w:numPr>
          <w:ilvl w:val="0"/>
          <w:numId w:val="1"/>
        </w:numPr>
        <w:jc w:val="both"/>
        <w:rPr>
          <w:b/>
          <w:bCs/>
        </w:rPr>
      </w:pPr>
      <w:r>
        <w:rPr>
          <w:b/>
          <w:bCs/>
        </w:rPr>
        <w:t>Head of Audit Opinion</w:t>
      </w:r>
    </w:p>
    <w:p w14:paraId="4423AD0B" w14:textId="77777777" w:rsidR="00623349" w:rsidRDefault="00601DEE">
      <w:pPr>
        <w:jc w:val="both"/>
      </w:pPr>
      <w:r>
        <w:t xml:space="preserve">This report provides a summary of the work carried out by Internal Audit in the financial year 2021/22 and the results of </w:t>
      </w:r>
      <w:r>
        <w:t>that work as reported to the Audit Committee throughout the year.  From the work undertaken during the year, my overall opinion the WLWA’s system of internal control, governance and risk management is that:</w:t>
      </w:r>
    </w:p>
    <w:p w14:paraId="27B24DD3" w14:textId="77777777" w:rsidR="00623349" w:rsidRDefault="00601DEE">
      <w:pPr>
        <w:jc w:val="both"/>
      </w:pPr>
      <w:r>
        <w:t>Reasonable assurance can be given that there is a</w:t>
      </w:r>
      <w:r>
        <w:t xml:space="preserve"> sound system of internal control, designed to meet the organisations objectives and that controls are applied consistently. For information, this compares with the 2020/21 opinion provided by the previous contracted auditors which was also reasonable. </w:t>
      </w:r>
    </w:p>
    <w:p w14:paraId="7E604E6C" w14:textId="77777777" w:rsidR="00623349" w:rsidRDefault="00601DEE">
      <w:pPr>
        <w:jc w:val="both"/>
      </w:pPr>
      <w:r>
        <w:t>In</w:t>
      </w:r>
      <w:r>
        <w:t>ternal Audit performed audits on three areas, Health and Safety, Income and Data/Management Information. Two of the three reports received Substantial Assurance and one report received Reasonable Assurance.</w:t>
      </w:r>
    </w:p>
    <w:p w14:paraId="4FAD7CF8" w14:textId="77777777" w:rsidR="00623349" w:rsidRDefault="00623349">
      <w:pPr>
        <w:jc w:val="both"/>
      </w:pPr>
    </w:p>
    <w:p w14:paraId="4DA01A1F" w14:textId="77777777" w:rsidR="00623349" w:rsidRDefault="00601DEE">
      <w:pPr>
        <w:jc w:val="both"/>
      </w:pPr>
      <w:r>
        <w:t>The assurance levels for each report are summari</w:t>
      </w:r>
      <w:r>
        <w:t>sed in the table below:</w:t>
      </w:r>
    </w:p>
    <w:tbl>
      <w:tblPr>
        <w:tblW w:w="9016" w:type="dxa"/>
        <w:tblCellMar>
          <w:left w:w="10" w:type="dxa"/>
          <w:right w:w="10" w:type="dxa"/>
        </w:tblCellMar>
        <w:tblLook w:val="0000" w:firstRow="0" w:lastRow="0" w:firstColumn="0" w:lastColumn="0" w:noHBand="0" w:noVBand="0"/>
      </w:tblPr>
      <w:tblGrid>
        <w:gridCol w:w="2122"/>
        <w:gridCol w:w="6894"/>
      </w:tblGrid>
      <w:tr w:rsidR="00623349" w14:paraId="493CE401"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03E9" w14:textId="77777777" w:rsidR="00623349" w:rsidRDefault="00601DEE">
            <w:pPr>
              <w:spacing w:after="0"/>
              <w:jc w:val="both"/>
            </w:pPr>
            <w:r>
              <w:t>Substantial</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3A9" w14:textId="77777777" w:rsidR="00623349" w:rsidRDefault="00601DEE">
            <w:pPr>
              <w:pStyle w:val="ListParagraph"/>
              <w:numPr>
                <w:ilvl w:val="0"/>
                <w:numId w:val="4"/>
              </w:numPr>
              <w:spacing w:after="0"/>
              <w:jc w:val="both"/>
            </w:pPr>
            <w:r>
              <w:t>Health and Safety</w:t>
            </w:r>
          </w:p>
          <w:p w14:paraId="7D47DED7" w14:textId="77777777" w:rsidR="00623349" w:rsidRDefault="00601DEE">
            <w:pPr>
              <w:pStyle w:val="ListParagraph"/>
              <w:numPr>
                <w:ilvl w:val="0"/>
                <w:numId w:val="4"/>
              </w:numPr>
              <w:spacing w:after="0"/>
              <w:jc w:val="both"/>
            </w:pPr>
            <w:r>
              <w:t>Data / Management Information</w:t>
            </w:r>
          </w:p>
        </w:tc>
      </w:tr>
      <w:tr w:rsidR="00623349" w14:paraId="2A168472"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C49E" w14:textId="77777777" w:rsidR="00623349" w:rsidRDefault="00601DEE">
            <w:pPr>
              <w:spacing w:after="0"/>
              <w:jc w:val="both"/>
            </w:pPr>
            <w:r>
              <w:t>Reasonable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ABB76" w14:textId="77777777" w:rsidR="00623349" w:rsidRDefault="00601DEE">
            <w:pPr>
              <w:pStyle w:val="ListParagraph"/>
              <w:numPr>
                <w:ilvl w:val="0"/>
                <w:numId w:val="5"/>
              </w:numPr>
              <w:spacing w:after="0"/>
              <w:jc w:val="both"/>
            </w:pPr>
            <w:r>
              <w:t>Income</w:t>
            </w:r>
          </w:p>
        </w:tc>
      </w:tr>
      <w:tr w:rsidR="00623349" w14:paraId="7B45A67E"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D684" w14:textId="77777777" w:rsidR="00623349" w:rsidRDefault="00601DEE">
            <w:pPr>
              <w:spacing w:after="0"/>
              <w:jc w:val="both"/>
            </w:pPr>
            <w:r>
              <w:t>Limited</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5C46" w14:textId="77777777" w:rsidR="00623349" w:rsidRDefault="00601DEE">
            <w:pPr>
              <w:spacing w:after="0"/>
              <w:jc w:val="both"/>
            </w:pPr>
            <w:r>
              <w:t>0</w:t>
            </w:r>
          </w:p>
        </w:tc>
      </w:tr>
      <w:tr w:rsidR="00623349" w14:paraId="7A8465D3" w14:textId="77777777">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13166" w14:textId="77777777" w:rsidR="00623349" w:rsidRDefault="00601DEE">
            <w:pPr>
              <w:spacing w:after="0"/>
              <w:jc w:val="both"/>
            </w:pPr>
            <w:r>
              <w:t>Nil</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0F92F" w14:textId="77777777" w:rsidR="00623349" w:rsidRDefault="00601DEE">
            <w:pPr>
              <w:spacing w:after="0"/>
              <w:jc w:val="both"/>
            </w:pPr>
            <w:r>
              <w:t>0</w:t>
            </w:r>
          </w:p>
        </w:tc>
      </w:tr>
    </w:tbl>
    <w:p w14:paraId="4443431E" w14:textId="77777777" w:rsidR="00623349" w:rsidRDefault="00623349">
      <w:pPr>
        <w:jc w:val="both"/>
      </w:pPr>
    </w:p>
    <w:p w14:paraId="6372AC4A" w14:textId="77777777" w:rsidR="00623349" w:rsidRDefault="00601DEE">
      <w:pPr>
        <w:jc w:val="both"/>
      </w:pPr>
      <w:r>
        <w:t>The table below provides a guide to how assurance levels are defined.</w:t>
      </w:r>
    </w:p>
    <w:tbl>
      <w:tblPr>
        <w:tblW w:w="9016" w:type="dxa"/>
        <w:tblCellMar>
          <w:left w:w="10" w:type="dxa"/>
          <w:right w:w="10" w:type="dxa"/>
        </w:tblCellMar>
        <w:tblLook w:val="0000" w:firstRow="0" w:lastRow="0" w:firstColumn="0" w:lastColumn="0" w:noHBand="0" w:noVBand="0"/>
      </w:tblPr>
      <w:tblGrid>
        <w:gridCol w:w="1980"/>
        <w:gridCol w:w="7036"/>
      </w:tblGrid>
      <w:tr w:rsidR="00623349" w14:paraId="7DC6E8F6"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7D48" w14:textId="77777777" w:rsidR="00623349" w:rsidRDefault="00601DEE">
            <w:pPr>
              <w:spacing w:after="0"/>
              <w:jc w:val="both"/>
              <w:rPr>
                <w:b/>
                <w:bCs/>
                <w:u w:val="single"/>
              </w:rPr>
            </w:pPr>
            <w:r>
              <w:rPr>
                <w:b/>
                <w:bCs/>
                <w:u w:val="single"/>
              </w:rPr>
              <w:t>Assurance Level</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B0A4D" w14:textId="77777777" w:rsidR="00623349" w:rsidRDefault="00601DEE">
            <w:pPr>
              <w:spacing w:after="0"/>
              <w:jc w:val="both"/>
              <w:rPr>
                <w:b/>
                <w:bCs/>
                <w:u w:val="single"/>
              </w:rPr>
            </w:pPr>
            <w:r>
              <w:rPr>
                <w:b/>
                <w:bCs/>
                <w:u w:val="single"/>
              </w:rPr>
              <w:t>Definition</w:t>
            </w:r>
          </w:p>
        </w:tc>
      </w:tr>
      <w:tr w:rsidR="00623349" w14:paraId="5C491A78"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2006" w14:textId="77777777" w:rsidR="00623349" w:rsidRDefault="00601DEE">
            <w:pPr>
              <w:spacing w:after="0"/>
              <w:jc w:val="both"/>
            </w:pPr>
            <w:r>
              <w:t>Substantial</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6D5C" w14:textId="77777777" w:rsidR="00623349" w:rsidRDefault="00601DEE">
            <w:pPr>
              <w:spacing w:after="0"/>
              <w:jc w:val="both"/>
            </w:pPr>
            <w:r>
              <w:t xml:space="preserve">There is a sound </w:t>
            </w:r>
            <w:r>
              <w:t>system of internal control designed to achieve the client’s objectives. The control processes tested are being consistently applied.</w:t>
            </w:r>
          </w:p>
        </w:tc>
      </w:tr>
      <w:tr w:rsidR="00623349" w14:paraId="5A77759C"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94256" w14:textId="77777777" w:rsidR="00623349" w:rsidRDefault="00601DEE">
            <w:pPr>
              <w:spacing w:after="0"/>
              <w:jc w:val="both"/>
            </w:pPr>
            <w:r>
              <w:t>Reasonable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C7CA" w14:textId="77777777" w:rsidR="00623349" w:rsidRDefault="00601DEE">
            <w:pPr>
              <w:spacing w:after="0"/>
              <w:jc w:val="both"/>
            </w:pPr>
            <w:r>
              <w:t>While there is a basically sound system of internal control, there are weaknesses, which put some of the client</w:t>
            </w:r>
            <w:r>
              <w:t>’s objectives at risk. There is evidence that the compliance with some of the control processes may put some of the client’s objectives at risk.</w:t>
            </w:r>
          </w:p>
        </w:tc>
      </w:tr>
      <w:tr w:rsidR="00623349" w14:paraId="13C97589"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7CAB9" w14:textId="77777777" w:rsidR="00623349" w:rsidRDefault="00601DEE">
            <w:pPr>
              <w:spacing w:after="0"/>
              <w:jc w:val="both"/>
            </w:pPr>
            <w:r>
              <w:lastRenderedPageBreak/>
              <w:t>Limited</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E802" w14:textId="77777777" w:rsidR="00623349" w:rsidRDefault="00601DEE">
            <w:pPr>
              <w:spacing w:after="0"/>
              <w:jc w:val="both"/>
            </w:pPr>
            <w:r>
              <w:t xml:space="preserve">Weakness in the system of internal controls </w:t>
            </w:r>
            <w:proofErr w:type="gramStart"/>
            <w:r>
              <w:t>are</w:t>
            </w:r>
            <w:proofErr w:type="gramEnd"/>
            <w:r>
              <w:t xml:space="preserve"> such as to put the client’s objectives at risk. The le</w:t>
            </w:r>
            <w:r>
              <w:t>vel of non-compliance puts the client’s objectives at risk.</w:t>
            </w:r>
          </w:p>
        </w:tc>
      </w:tr>
      <w:tr w:rsidR="00623349" w14:paraId="37B9CF4A" w14:textId="77777777">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D652" w14:textId="77777777" w:rsidR="00623349" w:rsidRDefault="00601DEE">
            <w:pPr>
              <w:spacing w:after="0"/>
              <w:jc w:val="both"/>
            </w:pPr>
            <w:r>
              <w:t>Nil</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E18D" w14:textId="77777777" w:rsidR="00623349" w:rsidRDefault="00601DEE">
            <w:pPr>
              <w:spacing w:after="0"/>
              <w:jc w:val="both"/>
            </w:pPr>
            <w:r>
              <w:t>Control processes are generally weak leaving the processes / systems open to significant error or abuse. Significant non-compliance with basic control processes leaves the processes / systems</w:t>
            </w:r>
            <w:r>
              <w:t xml:space="preserve"> open to error or abuse.</w:t>
            </w:r>
          </w:p>
        </w:tc>
      </w:tr>
    </w:tbl>
    <w:p w14:paraId="6E522777" w14:textId="77777777" w:rsidR="00623349" w:rsidRDefault="00623349">
      <w:pPr>
        <w:jc w:val="both"/>
      </w:pPr>
    </w:p>
    <w:p w14:paraId="60C0FB69" w14:textId="77777777" w:rsidR="00623349" w:rsidRDefault="00601DEE">
      <w:pPr>
        <w:pStyle w:val="ListParagraph"/>
        <w:numPr>
          <w:ilvl w:val="0"/>
          <w:numId w:val="1"/>
        </w:numPr>
        <w:jc w:val="both"/>
        <w:rPr>
          <w:b/>
          <w:bCs/>
        </w:rPr>
      </w:pPr>
      <w:r>
        <w:rPr>
          <w:b/>
          <w:bCs/>
        </w:rPr>
        <w:t>Internal Audit Performance</w:t>
      </w:r>
    </w:p>
    <w:p w14:paraId="6679DCA9" w14:textId="77777777" w:rsidR="00623349" w:rsidRDefault="00601DEE">
      <w:pPr>
        <w:jc w:val="both"/>
      </w:pPr>
      <w:r>
        <w:t>This table report provides a summary of all audits against the internal audit plan for 2021/22. The Health and Safety report was provided to Audit Committee in January 2022. The Income and Data/Manageme</w:t>
      </w:r>
      <w:r>
        <w:t>nt Information reports are also reported to this committee.</w:t>
      </w:r>
    </w:p>
    <w:p w14:paraId="6C132059" w14:textId="77777777" w:rsidR="00623349" w:rsidRDefault="00623349">
      <w:pPr>
        <w:jc w:val="both"/>
      </w:pPr>
    </w:p>
    <w:tbl>
      <w:tblPr>
        <w:tblW w:w="9016" w:type="dxa"/>
        <w:tblCellMar>
          <w:left w:w="10" w:type="dxa"/>
          <w:right w:w="10" w:type="dxa"/>
        </w:tblCellMar>
        <w:tblLook w:val="0000" w:firstRow="0" w:lastRow="0" w:firstColumn="0" w:lastColumn="0" w:noHBand="0" w:noVBand="0"/>
      </w:tblPr>
      <w:tblGrid>
        <w:gridCol w:w="704"/>
        <w:gridCol w:w="1985"/>
        <w:gridCol w:w="2844"/>
        <w:gridCol w:w="1737"/>
        <w:gridCol w:w="1746"/>
      </w:tblGrid>
      <w:tr w:rsidR="00623349" w14:paraId="5DB16525"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F82F" w14:textId="77777777" w:rsidR="00623349" w:rsidRDefault="00623349">
            <w:pPr>
              <w:spacing w:after="0"/>
              <w:jc w:val="both"/>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F4AC" w14:textId="77777777" w:rsidR="00623349" w:rsidRDefault="00601DEE">
            <w:pPr>
              <w:spacing w:after="0"/>
              <w:jc w:val="both"/>
            </w:pPr>
            <w:r>
              <w:t>Topic</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C3CE8" w14:textId="77777777" w:rsidR="00623349" w:rsidRDefault="00601DEE">
            <w:pPr>
              <w:spacing w:after="0"/>
              <w:jc w:val="both"/>
            </w:pPr>
            <w:r>
              <w:t xml:space="preserve">Description/Indicative Scope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62A0" w14:textId="77777777" w:rsidR="00623349" w:rsidRDefault="00601DEE">
            <w:pPr>
              <w:spacing w:after="0"/>
              <w:jc w:val="both"/>
            </w:pPr>
            <w:r>
              <w:t>Assurance Status</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85DE" w14:textId="77777777" w:rsidR="00623349" w:rsidRDefault="00601DEE">
            <w:pPr>
              <w:spacing w:after="0"/>
              <w:jc w:val="both"/>
            </w:pPr>
            <w:r>
              <w:t>Final Report to Audit Committee</w:t>
            </w:r>
          </w:p>
        </w:tc>
      </w:tr>
      <w:tr w:rsidR="00623349" w14:paraId="2ECA365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231ED" w14:textId="77777777" w:rsidR="00623349" w:rsidRDefault="00601DEE">
            <w:pPr>
              <w:spacing w:after="0"/>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4A1C" w14:textId="77777777" w:rsidR="00623349" w:rsidRDefault="00601DEE">
            <w:pPr>
              <w:spacing w:after="0"/>
              <w:jc w:val="both"/>
            </w:pPr>
            <w:r>
              <w:t>Health and Safety</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D523" w14:textId="77777777" w:rsidR="00623349" w:rsidRDefault="00601DEE">
            <w:pPr>
              <w:spacing w:after="0"/>
              <w:jc w:val="both"/>
            </w:pPr>
            <w:r>
              <w:rPr>
                <w:rFonts w:eastAsia="Times New Roman" w:cs="Calibri"/>
                <w:lang w:eastAsia="en-GB"/>
              </w:rPr>
              <w:t>A review of process for monitoring health and safety of the authority.</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65B2" w14:textId="77777777" w:rsidR="00623349" w:rsidRDefault="00601DEE">
            <w:pPr>
              <w:spacing w:after="0"/>
              <w:jc w:val="both"/>
            </w:pPr>
            <w:r>
              <w:t>Finalised (Substantial)</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C5087" w14:textId="77777777" w:rsidR="00623349" w:rsidRDefault="00601DEE">
            <w:pPr>
              <w:spacing w:after="0"/>
              <w:jc w:val="both"/>
            </w:pPr>
            <w:r>
              <w:t xml:space="preserve">January 2022 </w:t>
            </w:r>
          </w:p>
        </w:tc>
      </w:tr>
      <w:tr w:rsidR="00623349" w14:paraId="42D5266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85A5" w14:textId="77777777" w:rsidR="00623349" w:rsidRDefault="00601DEE">
            <w:pPr>
              <w:spacing w:after="0"/>
              <w:jc w:val="center"/>
            </w:pPr>
            <w: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ABCD9" w14:textId="77777777" w:rsidR="00623349" w:rsidRDefault="00601DEE">
            <w:pPr>
              <w:spacing w:after="0"/>
              <w:jc w:val="both"/>
            </w:pPr>
            <w:r>
              <w:t>Income</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8343" w14:textId="77777777" w:rsidR="00623349" w:rsidRDefault="00601DEE">
            <w:pPr>
              <w:spacing w:after="0"/>
              <w:jc w:val="both"/>
              <w:rPr>
                <w:rFonts w:cs="Calibri"/>
              </w:rPr>
            </w:pPr>
            <w:r>
              <w:rPr>
                <w:rFonts w:cs="Calibri"/>
              </w:rPr>
              <w:t>A short review to confirm income process.</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75E2E" w14:textId="77777777" w:rsidR="00623349" w:rsidRDefault="00601DEE">
            <w:pPr>
              <w:spacing w:after="0"/>
              <w:jc w:val="both"/>
            </w:pPr>
            <w:r>
              <w:t>Finalised (Reasonable)</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4F76E" w14:textId="77777777" w:rsidR="00623349" w:rsidRDefault="00601DEE">
            <w:pPr>
              <w:spacing w:after="0"/>
              <w:jc w:val="both"/>
            </w:pPr>
            <w:r>
              <w:t>June 2022</w:t>
            </w:r>
          </w:p>
        </w:tc>
      </w:tr>
      <w:tr w:rsidR="00623349" w14:paraId="2687ABA8"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34FA" w14:textId="77777777" w:rsidR="00623349" w:rsidRDefault="00601DEE">
            <w:pPr>
              <w:spacing w:after="0"/>
              <w:jc w:val="center"/>
            </w:pPr>
            <w: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31737" w14:textId="77777777" w:rsidR="00623349" w:rsidRDefault="00601DEE">
            <w:pPr>
              <w:spacing w:after="0"/>
              <w:jc w:val="both"/>
            </w:pPr>
            <w:r>
              <w:t xml:space="preserve">Data/Management Information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5BE5" w14:textId="77777777" w:rsidR="00623349" w:rsidRDefault="00601DEE">
            <w:pPr>
              <w:spacing w:after="0"/>
              <w:jc w:val="both"/>
            </w:pPr>
            <w:r>
              <w:rPr>
                <w:rFonts w:eastAsia="Times New Roman" w:cs="Calibri"/>
                <w:lang w:eastAsia="en-GB"/>
              </w:rPr>
              <w:t>A review of processes around data and management information for the authority.</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1B8A" w14:textId="77777777" w:rsidR="00623349" w:rsidRDefault="00601DEE">
            <w:pPr>
              <w:spacing w:after="0"/>
              <w:jc w:val="both"/>
            </w:pPr>
            <w:r>
              <w:t xml:space="preserve">Finalised </w:t>
            </w:r>
            <w:r>
              <w:t>(Substantial)</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52B37" w14:textId="77777777" w:rsidR="00623349" w:rsidRDefault="00601DEE">
            <w:pPr>
              <w:spacing w:after="0"/>
              <w:jc w:val="both"/>
            </w:pPr>
            <w:r>
              <w:t>June 2022</w:t>
            </w:r>
          </w:p>
        </w:tc>
      </w:tr>
    </w:tbl>
    <w:p w14:paraId="3DD11B3B" w14:textId="77777777" w:rsidR="00623349" w:rsidRDefault="00601DEE">
      <w:pPr>
        <w:jc w:val="both"/>
      </w:pPr>
      <w:r>
        <w:t xml:space="preserve"> </w:t>
      </w:r>
    </w:p>
    <w:p w14:paraId="1A0E800D" w14:textId="77777777" w:rsidR="00623349" w:rsidRDefault="00623349">
      <w:pPr>
        <w:jc w:val="both"/>
      </w:pPr>
    </w:p>
    <w:p w14:paraId="39532F7E" w14:textId="77777777" w:rsidR="00623349" w:rsidRDefault="00601DEE">
      <w:pPr>
        <w:jc w:val="both"/>
        <w:rPr>
          <w:b/>
          <w:bCs/>
        </w:rPr>
      </w:pPr>
      <w:r>
        <w:rPr>
          <w:b/>
          <w:bCs/>
        </w:rPr>
        <w:t>Follow Ups</w:t>
      </w:r>
    </w:p>
    <w:p w14:paraId="4751B42A" w14:textId="77777777" w:rsidR="00623349" w:rsidRDefault="00601DEE">
      <w:pPr>
        <w:jc w:val="both"/>
      </w:pPr>
      <w:r>
        <w:t>The table below shows the progress made on the follow ups of recommendations raised in reports. The results are summarised as:</w:t>
      </w:r>
    </w:p>
    <w:tbl>
      <w:tblPr>
        <w:tblW w:w="9016" w:type="dxa"/>
        <w:tblCellMar>
          <w:left w:w="10" w:type="dxa"/>
          <w:right w:w="10" w:type="dxa"/>
        </w:tblCellMar>
        <w:tblLook w:val="0000" w:firstRow="0" w:lastRow="0" w:firstColumn="0" w:lastColumn="0" w:noHBand="0" w:noVBand="0"/>
      </w:tblPr>
      <w:tblGrid>
        <w:gridCol w:w="5807"/>
        <w:gridCol w:w="1985"/>
        <w:gridCol w:w="1224"/>
      </w:tblGrid>
      <w:tr w:rsidR="00623349" w14:paraId="7A962E9D"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97C5C" w14:textId="77777777" w:rsidR="00623349" w:rsidRDefault="00601DEE">
            <w:pPr>
              <w:spacing w:after="0"/>
              <w:jc w:val="both"/>
              <w:rPr>
                <w:b/>
                <w:bCs/>
              </w:rPr>
            </w:pPr>
            <w:r>
              <w:rPr>
                <w:b/>
                <w:bCs/>
              </w:rPr>
              <w:t xml:space="preserve">Follow-up of recommendations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4ABBD" w14:textId="77777777" w:rsidR="00623349" w:rsidRDefault="00601DEE">
            <w:pPr>
              <w:spacing w:after="0"/>
              <w:jc w:val="both"/>
              <w:rPr>
                <w:b/>
                <w:bCs/>
              </w:rPr>
            </w:pPr>
            <w:r>
              <w:rPr>
                <w:b/>
                <w:bCs/>
              </w:rPr>
              <w:t>Number</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D5517" w14:textId="77777777" w:rsidR="00623349" w:rsidRDefault="00601DEE">
            <w:pPr>
              <w:spacing w:after="0"/>
              <w:jc w:val="right"/>
              <w:rPr>
                <w:b/>
                <w:bCs/>
              </w:rPr>
            </w:pPr>
            <w:r>
              <w:rPr>
                <w:b/>
                <w:bCs/>
              </w:rPr>
              <w:t>%</w:t>
            </w:r>
          </w:p>
        </w:tc>
      </w:tr>
      <w:tr w:rsidR="00623349" w14:paraId="7C979849"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4660" w14:textId="77777777" w:rsidR="00623349" w:rsidRDefault="00601DEE">
            <w:pPr>
              <w:spacing w:after="0"/>
              <w:jc w:val="both"/>
            </w:pPr>
            <w:r>
              <w:t>Number of high-risk findings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3CF21" w14:textId="77777777" w:rsidR="00623349" w:rsidRDefault="00601DEE">
            <w:pPr>
              <w:spacing w:after="0"/>
              <w:jc w:val="center"/>
            </w:pPr>
            <w:r>
              <w:t>0</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4E015F" w14:textId="77777777" w:rsidR="00623349" w:rsidRDefault="00623349">
            <w:pPr>
              <w:spacing w:after="0"/>
              <w:jc w:val="both"/>
            </w:pPr>
          </w:p>
        </w:tc>
      </w:tr>
      <w:tr w:rsidR="00623349" w14:paraId="01A7DBFC"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A359C" w14:textId="77777777" w:rsidR="00623349" w:rsidRDefault="00601DEE">
            <w:pPr>
              <w:spacing w:after="0"/>
              <w:jc w:val="both"/>
            </w:pPr>
            <w:r>
              <w:t xml:space="preserve">Number of </w:t>
            </w:r>
            <w:r>
              <w:t>medium risk findings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77CB6" w14:textId="77777777" w:rsidR="00623349" w:rsidRDefault="00601DEE">
            <w:pPr>
              <w:spacing w:after="0"/>
              <w:jc w:val="center"/>
            </w:pPr>
            <w:r>
              <w:t>1</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682031" w14:textId="77777777" w:rsidR="00623349" w:rsidRDefault="00623349">
            <w:pPr>
              <w:spacing w:after="0"/>
              <w:jc w:val="both"/>
            </w:pPr>
          </w:p>
        </w:tc>
      </w:tr>
      <w:tr w:rsidR="00623349" w14:paraId="7A9CC6A8"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0068" w14:textId="77777777" w:rsidR="00623349" w:rsidRDefault="00601DEE">
            <w:pPr>
              <w:spacing w:after="0"/>
              <w:jc w:val="both"/>
            </w:pPr>
            <w:r>
              <w:t>Number of low-risk findings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4F8E" w14:textId="77777777" w:rsidR="00623349" w:rsidRDefault="00601DEE">
            <w:pPr>
              <w:spacing w:after="0"/>
              <w:jc w:val="center"/>
            </w:pPr>
            <w:r>
              <w:t>7</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8BBB4A" w14:textId="77777777" w:rsidR="00623349" w:rsidRDefault="00623349">
            <w:pPr>
              <w:spacing w:after="0"/>
              <w:jc w:val="both"/>
            </w:pPr>
          </w:p>
        </w:tc>
      </w:tr>
      <w:tr w:rsidR="00623349" w14:paraId="7916D68E"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092C" w14:textId="77777777" w:rsidR="00623349" w:rsidRDefault="00601DEE">
            <w:pPr>
              <w:spacing w:after="0"/>
              <w:jc w:val="both"/>
            </w:pPr>
            <w:r>
              <w:t>Number completed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DDC9" w14:textId="77777777" w:rsidR="00623349" w:rsidRDefault="00601DEE">
            <w:pPr>
              <w:spacing w:after="0"/>
              <w:jc w:val="center"/>
            </w:pPr>
            <w:r>
              <w:t>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34B27" w14:textId="77777777" w:rsidR="00623349" w:rsidRDefault="00601DEE">
            <w:pPr>
              <w:spacing w:after="0"/>
              <w:jc w:val="center"/>
            </w:pPr>
            <w:r>
              <w:t>62.5%</w:t>
            </w:r>
          </w:p>
        </w:tc>
      </w:tr>
      <w:tr w:rsidR="00623349" w14:paraId="52C72FD6"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1F90C" w14:textId="77777777" w:rsidR="00623349" w:rsidRDefault="00601DEE">
            <w:pPr>
              <w:spacing w:after="0"/>
              <w:jc w:val="both"/>
            </w:pPr>
            <w:r>
              <w:t>Number in progress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3E1E" w14:textId="77777777" w:rsidR="00623349" w:rsidRDefault="00601DEE">
            <w:pPr>
              <w:spacing w:after="0"/>
              <w:jc w:val="center"/>
            </w:pPr>
            <w:r>
              <w:t>1</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7C902" w14:textId="77777777" w:rsidR="00623349" w:rsidRDefault="00601DEE">
            <w:pPr>
              <w:spacing w:after="0"/>
              <w:jc w:val="center"/>
            </w:pPr>
            <w:r>
              <w:t>12.5%</w:t>
            </w:r>
          </w:p>
        </w:tc>
      </w:tr>
      <w:tr w:rsidR="00623349" w14:paraId="23E62B1D"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03FA" w14:textId="77777777" w:rsidR="00623349" w:rsidRDefault="00601DEE">
            <w:pPr>
              <w:spacing w:after="0"/>
              <w:jc w:val="both"/>
            </w:pPr>
            <w:r>
              <w:t>Not implemented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627D" w14:textId="77777777" w:rsidR="00623349" w:rsidRDefault="00601DEE">
            <w:pPr>
              <w:spacing w:after="0"/>
              <w:jc w:val="center"/>
            </w:pPr>
            <w: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B38FD" w14:textId="77777777" w:rsidR="00623349" w:rsidRDefault="00601DEE">
            <w:pPr>
              <w:spacing w:after="0"/>
              <w:jc w:val="center"/>
            </w:pPr>
            <w:r>
              <w:t>0%</w:t>
            </w:r>
          </w:p>
        </w:tc>
      </w:tr>
      <w:tr w:rsidR="00623349" w14:paraId="2B27AD18" w14:textId="77777777">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0ABE9" w14:textId="77777777" w:rsidR="00623349" w:rsidRDefault="00601DEE">
            <w:pPr>
              <w:spacing w:after="0"/>
              <w:jc w:val="both"/>
            </w:pPr>
            <w:r>
              <w:t>Not yet due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FE236" w14:textId="77777777" w:rsidR="00623349" w:rsidRDefault="00601DEE">
            <w:pPr>
              <w:spacing w:after="0"/>
              <w:jc w:val="center"/>
            </w:pPr>
            <w:r>
              <w:t>2</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FFEB" w14:textId="77777777" w:rsidR="00623349" w:rsidRDefault="00601DEE">
            <w:pPr>
              <w:spacing w:after="0"/>
              <w:jc w:val="center"/>
            </w:pPr>
            <w:r>
              <w:t>25%</w:t>
            </w:r>
          </w:p>
        </w:tc>
      </w:tr>
    </w:tbl>
    <w:p w14:paraId="2C283994" w14:textId="77777777" w:rsidR="00623349" w:rsidRDefault="00623349">
      <w:pPr>
        <w:jc w:val="both"/>
      </w:pPr>
    </w:p>
    <w:p w14:paraId="1E359DA9" w14:textId="77777777" w:rsidR="00623349" w:rsidRDefault="00601DEE">
      <w:pPr>
        <w:jc w:val="both"/>
      </w:pPr>
      <w:r>
        <w:t>The table below shows the details of risk areas which have not yet been fully implemented:</w:t>
      </w:r>
    </w:p>
    <w:tbl>
      <w:tblPr>
        <w:tblW w:w="9016" w:type="dxa"/>
        <w:tblLayout w:type="fixed"/>
        <w:tblCellMar>
          <w:left w:w="10" w:type="dxa"/>
          <w:right w:w="10" w:type="dxa"/>
        </w:tblCellMar>
        <w:tblLook w:val="0000" w:firstRow="0" w:lastRow="0" w:firstColumn="0" w:lastColumn="0" w:noHBand="0" w:noVBand="0"/>
      </w:tblPr>
      <w:tblGrid>
        <w:gridCol w:w="562"/>
        <w:gridCol w:w="1843"/>
        <w:gridCol w:w="2014"/>
        <w:gridCol w:w="1388"/>
        <w:gridCol w:w="1731"/>
        <w:gridCol w:w="1478"/>
      </w:tblGrid>
      <w:tr w:rsidR="00623349" w14:paraId="0EA7942B"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E2D65" w14:textId="77777777" w:rsidR="00623349" w:rsidRDefault="00623349">
            <w:pPr>
              <w:spacing w:after="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03CBB" w14:textId="77777777" w:rsidR="00623349" w:rsidRDefault="00623349">
            <w:pPr>
              <w:spacing w:after="0"/>
              <w:jc w:val="center"/>
            </w:pPr>
          </w:p>
          <w:p w14:paraId="4E369EE2" w14:textId="77777777" w:rsidR="00623349" w:rsidRDefault="00601DEE">
            <w:pPr>
              <w:spacing w:after="0"/>
              <w:jc w:val="center"/>
            </w:pPr>
            <w:r>
              <w:t>Report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32D9" w14:textId="77777777" w:rsidR="00623349" w:rsidRDefault="00601DEE">
            <w:pPr>
              <w:spacing w:after="0"/>
              <w:jc w:val="center"/>
            </w:pPr>
            <w:r>
              <w:t>Title of Recommendation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D7425" w14:textId="77777777" w:rsidR="00623349" w:rsidRDefault="00601DEE">
            <w:pPr>
              <w:spacing w:after="0"/>
              <w:jc w:val="center"/>
            </w:pPr>
            <w:r>
              <w:t>High, Medium or Low Risk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D6398" w14:textId="77777777" w:rsidR="00623349" w:rsidRDefault="00601DEE">
            <w:pPr>
              <w:spacing w:after="0"/>
              <w:jc w:val="center"/>
            </w:pPr>
            <w:r>
              <w:t>Agreed Implementation Date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281E0" w14:textId="77777777" w:rsidR="00623349" w:rsidRDefault="00623349">
            <w:pPr>
              <w:spacing w:after="0"/>
              <w:jc w:val="center"/>
            </w:pPr>
          </w:p>
          <w:p w14:paraId="4DFD6F67" w14:textId="77777777" w:rsidR="00623349" w:rsidRDefault="00601DEE">
            <w:pPr>
              <w:spacing w:after="0"/>
              <w:jc w:val="center"/>
            </w:pPr>
            <w:r>
              <w:t>Status</w:t>
            </w:r>
          </w:p>
        </w:tc>
      </w:tr>
      <w:tr w:rsidR="00623349" w14:paraId="4F4B6933"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BEF9D" w14:textId="77777777" w:rsidR="00623349" w:rsidRDefault="00601DEE">
            <w:pPr>
              <w:spacing w:after="0"/>
              <w:jc w:val="both"/>
            </w:pPr>
            <w: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4A80" w14:textId="77777777" w:rsidR="00623349" w:rsidRDefault="00601DEE">
            <w:pPr>
              <w:spacing w:after="0"/>
              <w:jc w:val="both"/>
            </w:pPr>
            <w:r>
              <w:t>Health and Safety Management</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02FE" w14:textId="77777777" w:rsidR="00623349" w:rsidRDefault="00601DEE">
            <w:pPr>
              <w:spacing w:after="0"/>
              <w:jc w:val="both"/>
            </w:pPr>
            <w:r>
              <w:t>Formal arrangements of checks and policy updates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E92BB" w14:textId="77777777" w:rsidR="00623349" w:rsidRDefault="00601DEE">
            <w:pPr>
              <w:spacing w:after="0"/>
              <w:jc w:val="both"/>
            </w:pPr>
            <w:r>
              <w:t>Low Risk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DC35" w14:textId="77777777" w:rsidR="00623349" w:rsidRDefault="00601DEE">
            <w:pPr>
              <w:spacing w:after="0"/>
              <w:jc w:val="both"/>
            </w:pPr>
            <w:r>
              <w:t>31</w:t>
            </w:r>
            <w:r>
              <w:rPr>
                <w:vertAlign w:val="superscript"/>
              </w:rPr>
              <w:t>st</w:t>
            </w:r>
            <w:r>
              <w:t xml:space="preserve"> March changed to June in line with Board Meetings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FDA03" w14:textId="77777777" w:rsidR="00623349" w:rsidRDefault="00601DEE">
            <w:pPr>
              <w:suppressAutoHyphens w:val="0"/>
              <w:spacing w:after="0"/>
              <w:jc w:val="both"/>
            </w:pPr>
            <w:r>
              <w:rPr>
                <w:rFonts w:cs="Calibri"/>
                <w:color w:val="000000"/>
              </w:rPr>
              <w:t xml:space="preserve">Evidence of </w:t>
            </w:r>
            <w:r>
              <w:rPr>
                <w:rFonts w:cs="Calibri"/>
                <w:color w:val="000000"/>
              </w:rPr>
              <w:t xml:space="preserve">formal arrangements provided. Policies have </w:t>
            </w:r>
            <w:r>
              <w:rPr>
                <w:rFonts w:cs="Calibri"/>
                <w:color w:val="000000"/>
              </w:rPr>
              <w:lastRenderedPageBreak/>
              <w:t>been updated but not put before the Senior Leadership Team for approval. This is now due to be addressed in June.</w:t>
            </w:r>
          </w:p>
        </w:tc>
      </w:tr>
      <w:tr w:rsidR="00623349" w14:paraId="40F6F826"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FA7A4" w14:textId="77777777" w:rsidR="00623349" w:rsidRDefault="00601DEE">
            <w:pPr>
              <w:spacing w:after="0"/>
              <w:jc w:val="both"/>
            </w:pPr>
            <w:r>
              <w:lastRenderedPageBreak/>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EF773" w14:textId="77777777" w:rsidR="00623349" w:rsidRDefault="00601DEE">
            <w:pPr>
              <w:spacing w:after="0"/>
              <w:jc w:val="both"/>
            </w:pPr>
            <w:r>
              <w:t>Data / Management Information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CB72" w14:textId="77777777" w:rsidR="00623349" w:rsidRDefault="00623349">
            <w:pPr>
              <w:spacing w:after="0"/>
              <w:jc w:val="both"/>
            </w:pPr>
          </w:p>
          <w:p w14:paraId="5F94B7FE" w14:textId="77777777" w:rsidR="00623349" w:rsidRDefault="00601DEE">
            <w:pPr>
              <w:spacing w:after="0"/>
              <w:jc w:val="both"/>
            </w:pPr>
            <w:r>
              <w:t>Scrutiny workflow</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7478" w14:textId="77777777" w:rsidR="00623349" w:rsidRDefault="00623349">
            <w:pPr>
              <w:spacing w:after="0"/>
              <w:jc w:val="both"/>
            </w:pPr>
          </w:p>
          <w:p w14:paraId="6D7820B1" w14:textId="77777777" w:rsidR="00623349" w:rsidRDefault="00601DEE">
            <w:pPr>
              <w:spacing w:after="0"/>
              <w:jc w:val="both"/>
            </w:pPr>
            <w:r>
              <w:t>Low Risk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B253B" w14:textId="77777777" w:rsidR="00623349" w:rsidRDefault="00623349">
            <w:pPr>
              <w:spacing w:after="0"/>
              <w:jc w:val="both"/>
            </w:pPr>
          </w:p>
          <w:p w14:paraId="592016E2" w14:textId="77777777" w:rsidR="00623349" w:rsidRDefault="00601DEE">
            <w:pPr>
              <w:spacing w:after="0"/>
              <w:jc w:val="both"/>
            </w:pPr>
            <w:r>
              <w:t>30</w:t>
            </w:r>
            <w:r>
              <w:rPr>
                <w:vertAlign w:val="superscript"/>
              </w:rPr>
              <w:t>th</w:t>
            </w:r>
            <w:r>
              <w:t xml:space="preserve"> June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ABCC2" w14:textId="77777777" w:rsidR="00623349" w:rsidRDefault="00623349">
            <w:pPr>
              <w:spacing w:after="0"/>
              <w:jc w:val="both"/>
            </w:pPr>
          </w:p>
          <w:p w14:paraId="7FC84473" w14:textId="77777777" w:rsidR="00623349" w:rsidRDefault="00601DEE">
            <w:pPr>
              <w:spacing w:after="0"/>
              <w:jc w:val="both"/>
            </w:pPr>
            <w:r>
              <w:t>Not due yet</w:t>
            </w:r>
          </w:p>
        </w:tc>
      </w:tr>
      <w:tr w:rsidR="00623349" w14:paraId="029BDF76" w14:textId="77777777">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93C2" w14:textId="77777777" w:rsidR="00623349" w:rsidRDefault="00601DEE">
            <w:pPr>
              <w:spacing w:after="0"/>
              <w:jc w:val="both"/>
            </w:pPr>
            <w: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5E09" w14:textId="77777777" w:rsidR="00623349" w:rsidRDefault="00601DEE">
            <w:pPr>
              <w:spacing w:after="0"/>
              <w:jc w:val="both"/>
            </w:pPr>
            <w:r>
              <w:t xml:space="preserve">Data / </w:t>
            </w:r>
            <w:r>
              <w:t>Management Information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B299A" w14:textId="77777777" w:rsidR="00623349" w:rsidRDefault="00601DEE">
            <w:pPr>
              <w:spacing w:after="0"/>
              <w:jc w:val="both"/>
            </w:pPr>
            <w:r>
              <w:t>Weighbridge assurance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EAD6" w14:textId="77777777" w:rsidR="00623349" w:rsidRDefault="00623349">
            <w:pPr>
              <w:spacing w:after="0"/>
              <w:jc w:val="both"/>
            </w:pPr>
          </w:p>
          <w:p w14:paraId="0558F12F" w14:textId="77777777" w:rsidR="00623349" w:rsidRDefault="00601DEE">
            <w:pPr>
              <w:spacing w:after="0"/>
              <w:jc w:val="both"/>
            </w:pPr>
            <w:r>
              <w:t>Low Risk</w:t>
            </w:r>
          </w:p>
        </w:tc>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3898" w14:textId="77777777" w:rsidR="00623349" w:rsidRDefault="00623349">
            <w:pPr>
              <w:spacing w:after="0"/>
              <w:jc w:val="both"/>
            </w:pPr>
          </w:p>
          <w:p w14:paraId="086CF29E" w14:textId="77777777" w:rsidR="00623349" w:rsidRDefault="00601DEE">
            <w:pPr>
              <w:spacing w:after="0"/>
              <w:jc w:val="both"/>
            </w:pPr>
            <w:r>
              <w:t>30</w:t>
            </w:r>
            <w:r>
              <w:rPr>
                <w:vertAlign w:val="superscript"/>
              </w:rPr>
              <w:t>th</w:t>
            </w:r>
            <w:r>
              <w:t xml:space="preserve"> June</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513E" w14:textId="77777777" w:rsidR="00623349" w:rsidRDefault="00623349">
            <w:pPr>
              <w:spacing w:after="0"/>
              <w:jc w:val="both"/>
            </w:pPr>
          </w:p>
          <w:p w14:paraId="78CD9A0D" w14:textId="77777777" w:rsidR="00623349" w:rsidRDefault="00601DEE">
            <w:pPr>
              <w:spacing w:after="0"/>
              <w:jc w:val="both"/>
            </w:pPr>
            <w:r>
              <w:t>Not due yet</w:t>
            </w:r>
          </w:p>
        </w:tc>
      </w:tr>
    </w:tbl>
    <w:p w14:paraId="30D8535D" w14:textId="77777777" w:rsidR="00623349" w:rsidRDefault="00623349">
      <w:pPr>
        <w:jc w:val="both"/>
      </w:pPr>
    </w:p>
    <w:sectPr w:rsidR="006233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9824" w14:textId="77777777" w:rsidR="00000000" w:rsidRDefault="00601DEE">
      <w:pPr>
        <w:spacing w:after="0"/>
      </w:pPr>
      <w:r>
        <w:separator/>
      </w:r>
    </w:p>
  </w:endnote>
  <w:endnote w:type="continuationSeparator" w:id="0">
    <w:p w14:paraId="6BBA6CAD" w14:textId="77777777" w:rsidR="00000000" w:rsidRDefault="00601D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3DF3" w14:textId="77777777" w:rsidR="00000000" w:rsidRDefault="00601DEE">
      <w:pPr>
        <w:spacing w:after="0"/>
      </w:pPr>
      <w:r>
        <w:rPr>
          <w:color w:val="000000"/>
        </w:rPr>
        <w:separator/>
      </w:r>
    </w:p>
  </w:footnote>
  <w:footnote w:type="continuationSeparator" w:id="0">
    <w:p w14:paraId="4E93DC54" w14:textId="77777777" w:rsidR="00000000" w:rsidRDefault="00601DE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65AC"/>
    <w:multiLevelType w:val="multilevel"/>
    <w:tmpl w:val="888491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1132F3"/>
    <w:multiLevelType w:val="multilevel"/>
    <w:tmpl w:val="86C240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0AE7C7D"/>
    <w:multiLevelType w:val="multilevel"/>
    <w:tmpl w:val="4FAE4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5407E3"/>
    <w:multiLevelType w:val="multilevel"/>
    <w:tmpl w:val="7A38499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6482C2E"/>
    <w:multiLevelType w:val="multilevel"/>
    <w:tmpl w:val="330A93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23349"/>
    <w:rsid w:val="00601DEE"/>
    <w:rsid w:val="00623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6693"/>
  <w15:docId w15:val="{FF6B4788-49DB-4E1D-8611-83BDEA85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dc:description/>
  <cp:lastModifiedBy>Alison Atherton</cp:lastModifiedBy>
  <cp:revision>2</cp:revision>
  <dcterms:created xsi:type="dcterms:W3CDTF">2022-06-16T13:25:00Z</dcterms:created>
  <dcterms:modified xsi:type="dcterms:W3CDTF">2022-06-16T13:25:00Z</dcterms:modified>
</cp:coreProperties>
</file>